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spacing w:line="259" w:lineRule="auto"/>
        <w:rPr>
          <w:rFonts w:ascii="Calibri" w:cs="Calibri" w:hAnsi="Calibri" w:eastAsia="Calibri"/>
          <w:sz w:val="22"/>
          <w:szCs w:val="22"/>
          <w:lang w:val="en-US"/>
        </w:rPr>
      </w:pPr>
      <w:r>
        <w:rPr>
          <w:rFonts w:ascii="Calibri" w:hAnsi="Calibri"/>
          <w:b w:val="1"/>
          <w:bCs w:val="1"/>
          <w:sz w:val="22"/>
          <w:szCs w:val="22"/>
          <w:rtl w:val="0"/>
          <w:lang w:val="en-US"/>
        </w:rPr>
        <w:t>Categories and Coding Rules of the Literature Review</w:t>
      </w:r>
    </w:p>
    <w:p>
      <w:pPr>
        <w:pStyle w:val="Normal.0"/>
        <w:spacing w:line="259" w:lineRule="auto"/>
        <w:rPr>
          <w:rFonts w:ascii="Calibri" w:cs="Calibri" w:hAnsi="Calibri" w:eastAsia="Calibri"/>
          <w:sz w:val="22"/>
          <w:szCs w:val="22"/>
        </w:rPr>
      </w:pPr>
      <w:r>
        <w:rPr>
          <w:rFonts w:ascii="Calibri" w:hAnsi="Calibri"/>
          <w:b w:val="1"/>
          <w:bCs w:val="1"/>
          <w:sz w:val="22"/>
          <w:szCs w:val="22"/>
          <w:rtl w:val="0"/>
          <w:lang w:val="en-US"/>
        </w:rPr>
        <w:t xml:space="preserve">Based on </w:t>
      </w:r>
      <w:r>
        <w:rPr>
          <w:rFonts w:ascii="Calibri" w:hAnsi="Calibri"/>
          <w:sz w:val="22"/>
          <w:szCs w:val="22"/>
          <w:rtl w:val="0"/>
          <w:lang w:val="en-US"/>
        </w:rPr>
        <w:t xml:space="preserve">Codebook TA (mix of structured and open coding) (Bowman et.al., 2023) </w:t>
      </w:r>
    </w:p>
    <w:tbl>
      <w:tblPr>
        <w:tblW w:w="9000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ad1d7"/>
        <w:tblLayout w:type="fixed"/>
      </w:tblPr>
      <w:tblGrid>
        <w:gridCol w:w="1364"/>
        <w:gridCol w:w="850"/>
        <w:gridCol w:w="1652"/>
        <w:gridCol w:w="2334"/>
        <w:gridCol w:w="902"/>
        <w:gridCol w:w="1898"/>
      </w:tblGrid>
      <w:tr>
        <w:tblPrEx>
          <w:shd w:val="clear" w:color="auto" w:fill="cad1d7"/>
        </w:tblPrEx>
        <w:trPr>
          <w:trHeight w:val="501" w:hRule="atLeast"/>
        </w:trPr>
        <w:tc>
          <w:tcPr>
            <w:tcW w:type="dxa" w:w="1364"/>
            <w:tcBorders>
              <w:top w:val="single" w:color="000000" w:sz="6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fbf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59" w:lineRule="auto"/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>Main category</w:t>
            </w:r>
          </w:p>
        </w:tc>
        <w:tc>
          <w:tcPr>
            <w:tcW w:type="dxa" w:w="849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fbf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>No.</w:t>
            </w:r>
          </w:p>
        </w:tc>
        <w:tc>
          <w:tcPr>
            <w:tcW w:type="dxa" w:w="3985"/>
            <w:gridSpan w:val="2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fbf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>Subcategory</w:t>
            </w:r>
          </w:p>
        </w:tc>
        <w:tc>
          <w:tcPr>
            <w:tcW w:type="dxa" w:w="902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fbf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>Data Type</w:t>
            </w:r>
          </w:p>
        </w:tc>
        <w:tc>
          <w:tcPr>
            <w:tcW w:type="dxa" w:w="1897"/>
            <w:tcBorders>
              <w:top w:val="single" w:color="000000" w:sz="6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bfbfb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>Coding Rule</w:t>
            </w:r>
          </w:p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Year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-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Integer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Conference / Journal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2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-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Tags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3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-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Code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1972" w:hRule="atLeast"/>
        </w:trPr>
        <w:tc>
          <w:tcPr>
            <w:tcW w:type="dxa" w:w="1364"/>
            <w:vMerge w:val="restart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Theme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4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-a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1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Integer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before="240" w:after="240" w:line="276" w:lineRule="auto"/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>1) Technology as a ("neutral") tool in conflict or a conflict space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 (Social Media, Online Platforms, Wikipedia)</w:t>
            </w:r>
          </w:p>
        </w:tc>
      </w:tr>
      <w:tr>
        <w:tblPrEx>
          <w:shd w:val="clear" w:color="auto" w:fill="cad1d7"/>
        </w:tblPrEx>
        <w:trPr>
          <w:trHeight w:val="2263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4-b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2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Integer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bidi w:val="0"/>
              <w:spacing w:before="240" w:after="0" w:line="276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2) Technology as the manifestation of oppressive structures,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e.g., by society (representation) or the state (surveillance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)</w:t>
            </w:r>
          </w:p>
        </w:tc>
      </w:tr>
      <w:tr>
        <w:tblPrEx>
          <w:shd w:val="clear" w:color="auto" w:fill="cad1d7"/>
        </w:tblPrEx>
        <w:trPr>
          <w:trHeight w:val="138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4-c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3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Integer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bidi w:val="0"/>
              <w:spacing w:before="240" w:after="0" w:line="276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>3) Technology as an enabler of activists or to enable participation</w:t>
            </w:r>
          </w:p>
        </w:tc>
      </w:tr>
      <w:tr>
        <w:tblPrEx>
          <w:shd w:val="clear" w:color="auto" w:fill="cad1d7"/>
        </w:tblPrEx>
        <w:trPr>
          <w:trHeight w:val="2263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4-d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4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Integer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bidi w:val="0"/>
              <w:spacing w:before="240" w:after="0" w:line="276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>4) Technology as a tool in conflict transformation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 (mitigation, empathy, accountability, resolution, transition) </w:t>
            </w:r>
          </w:p>
        </w:tc>
      </w:tr>
      <w:tr>
        <w:tblPrEx>
          <w:shd w:val="clear" w:color="auto" w:fill="cad1d7"/>
        </w:tblPrEx>
        <w:trPr>
          <w:trHeight w:val="3139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4-e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5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Integer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bidi w:val="0"/>
              <w:spacing w:before="240" w:after="0" w:line="276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>5) Technology as part in conflict dynamic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 (propaganda, bias in information, polarisation, expectations, assistant systems which might even induce violent behaviour) </w:t>
            </w:r>
          </w:p>
        </w:tc>
      </w:tr>
      <w:tr>
        <w:tblPrEx>
          <w:shd w:val="clear" w:color="auto" w:fill="cad1d7"/>
        </w:tblPrEx>
        <w:trPr>
          <w:trHeight w:val="2263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4-f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6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Integer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bidi w:val="0"/>
              <w:spacing w:before="240" w:after="0" w:line="276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>6) Technology as a tool to deal with the impacts of violent or disruptive conflicts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 (resilience, infrastructure, mental health)</w:t>
            </w:r>
          </w:p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4-g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No Theme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240" w:after="240" w:line="276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None of the above</w:t>
            </w:r>
          </w:p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Conceptual Contribution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5-a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-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Boolean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True: 1</w:t>
            </w:r>
          </w:p>
          <w:p>
            <w:pPr>
              <w:pStyle w:val="Normal.0"/>
              <w:bidi w:val="0"/>
              <w:spacing w:after="0" w:line="259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False: 0</w:t>
            </w:r>
          </w:p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Empirical Contribution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5-b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-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Boolean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True: 1</w:t>
            </w:r>
          </w:p>
          <w:p>
            <w:pPr>
              <w:pStyle w:val="Normal.0"/>
              <w:bidi w:val="0"/>
              <w:spacing w:after="0" w:line="259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False: 0</w:t>
            </w:r>
          </w:p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Artifact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5-c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-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Boolean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True: 1</w:t>
            </w:r>
          </w:p>
          <w:p>
            <w:pPr>
              <w:pStyle w:val="Normal.0"/>
              <w:bidi w:val="0"/>
              <w:spacing w:after="0" w:line="259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False: 0</w:t>
            </w:r>
          </w:p>
        </w:tc>
      </w:tr>
      <w:tr>
        <w:tblPrEx>
          <w:shd w:val="clear" w:color="auto" w:fill="cad1d7"/>
        </w:tblPrEx>
        <w:trPr>
          <w:trHeight w:val="481" w:hRule="atLeast"/>
        </w:trPr>
        <w:tc>
          <w:tcPr>
            <w:tcW w:type="dxa" w:w="1364"/>
            <w:vMerge w:val="restart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Participants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6-a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Citizens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Adults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Women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Demographic Characteristics</w:t>
            </w:r>
          </w:p>
        </w:tc>
      </w:tr>
      <w:tr>
        <w:tblPrEx>
          <w:shd w:val="clear" w:color="auto" w:fill="cad1d7"/>
        </w:tblPrEx>
        <w:trPr>
          <w:trHeight w:val="48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6-b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Young Adults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Students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Pupils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Children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Students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48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Soldiers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Guerrillas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Police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Affected People</w:t>
            </w:r>
          </w:p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e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Veteran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f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Refugees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g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Mourners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h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Patients / Victims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Mental Health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Physical Health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178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Minorities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i w:val="1"/>
                <w:iCs w:val="1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i w:val="0"/>
                <w:iCs w:val="0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i w:val="1"/>
                <w:iCs w:val="1"/>
                <w:sz w:val="22"/>
                <w:szCs w:val="22"/>
                <w:shd w:val="nil" w:color="auto" w:fill="auto"/>
                <w:rtl w:val="0"/>
                <w:lang w:val="en-US"/>
              </w:rPr>
              <w:t>Religion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i w:val="1"/>
                <w:iCs w:val="1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i w:val="1"/>
                <w:iCs w:val="1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i w:val="0"/>
                <w:iCs w:val="0"/>
                <w:sz w:val="22"/>
                <w:szCs w:val="22"/>
                <w:shd w:val="nil" w:color="auto" w:fill="auto"/>
                <w:rtl w:val="0"/>
                <w:lang w:val="en-US"/>
              </w:rPr>
              <w:t>PoC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LGBTQIA+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Disabled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Autism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Hate speech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i w:val="1"/>
                <w:iCs w:val="1"/>
                <w:sz w:val="22"/>
                <w:szCs w:val="22"/>
                <w:shd w:val="nil" w:color="auto" w:fill="auto"/>
                <w:rtl w:val="0"/>
                <w:lang w:val="en-US"/>
              </w:rPr>
              <w:t>etc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j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Social Media Users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i w:val="1"/>
                <w:iCs w:val="1"/>
                <w:sz w:val="22"/>
                <w:szCs w:val="22"/>
                <w:shd w:val="nil" w:color="auto" w:fill="auto"/>
                <w:rtl w:val="0"/>
                <w:lang w:val="en-US"/>
              </w:rPr>
              <w:t>Platform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Practitioners</w:t>
            </w:r>
          </w:p>
        </w:tc>
      </w:tr>
      <w:tr>
        <w:tblPrEx>
          <w:shd w:val="clear" w:color="auto" w:fill="cad1d7"/>
        </w:tblPrEx>
        <w:trPr>
          <w:trHeight w:val="48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6-k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ICT Users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Mobile Phone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i w:val="1"/>
                <w:iCs w:val="1"/>
                <w:sz w:val="22"/>
                <w:szCs w:val="22"/>
                <w:shd w:val="nil" w:color="auto" w:fill="auto"/>
                <w:rtl w:val="0"/>
                <w:lang w:val="en-US"/>
              </w:rPr>
              <w:t>etc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l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Volunteers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15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Activists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Disabled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Peace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Environment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Social Justice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Political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Anti-Abortion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178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n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Workers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Content Creators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Creators / Bloggers / Platforms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Wikipedia Contributors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Street Outreach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Farmers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256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6-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o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Experts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NGO Staff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Gamers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Researchers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Teachers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Journalists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Criminals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Firefighters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>–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  Historical Photograph Analysts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CS Educators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tabs>
                <w:tab w:val="center" w:pos="1316"/>
              </w:tabs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6-p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no information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tabs>
                <w:tab w:val="center" w:pos="1316"/>
              </w:tabs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1328" w:hRule="atLeast"/>
        </w:trPr>
        <w:tc>
          <w:tcPr>
            <w:tcW w:type="dxa" w:w="1364"/>
            <w:vMerge w:val="restart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Conflict Country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7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-a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  <w:rPr>
                <w:rFonts w:ascii="Calibri" w:cs="Calibri" w:hAnsi="Calibri" w:eastAsia="Calibri"/>
                <w:i w:val="1"/>
                <w:iCs w:val="1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/>
                <w:i w:val="1"/>
                <w:iCs w:val="1"/>
                <w:sz w:val="22"/>
                <w:szCs w:val="22"/>
                <w:shd w:val="nil" w:color="auto" w:fill="auto"/>
                <w:rtl w:val="0"/>
                <w:lang w:val="en-US"/>
              </w:rPr>
              <w:t>Nation State name</w:t>
            </w:r>
          </w:p>
          <w:p>
            <w:pPr>
              <w:pStyle w:val="Normal.0"/>
              <w:spacing w:after="0" w:line="259" w:lineRule="auto"/>
              <w:rPr>
                <w:rFonts w:ascii="Calibri" w:cs="Calibri" w:hAnsi="Calibri" w:eastAsia="Calibri"/>
                <w:i w:val="1"/>
                <w:iCs w:val="1"/>
                <w:sz w:val="22"/>
                <w:szCs w:val="22"/>
                <w:shd w:val="nil" w:color="auto" w:fill="auto"/>
                <w:lang w:val="en-US"/>
              </w:rPr>
            </w:pPr>
          </w:p>
          <w:p>
            <w:pPr>
              <w:pStyle w:val="Normal.0"/>
              <w:bidi w:val="0"/>
              <w:spacing w:after="0" w:line="259" w:lineRule="auto"/>
              <w:ind w:left="0" w:right="0" w:firstLine="0"/>
              <w:jc w:val="left"/>
              <w:rPr>
                <w:rFonts w:ascii="Calibri" w:cs="Calibri" w:hAnsi="Calibri" w:eastAsia="Calibri"/>
                <w:i w:val="1"/>
                <w:iCs w:val="1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/>
                <w:i w:val="1"/>
                <w:iCs w:val="1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Note Tuples, based on the latter: </w:t>
            </w:r>
          </w:p>
          <w:p>
            <w:pPr>
              <w:pStyle w:val="Normal.0"/>
              <w:bidi w:val="0"/>
              <w:spacing w:after="0" w:line="259" w:lineRule="auto"/>
              <w:ind w:left="0" w:right="0" w:firstLine="0"/>
              <w:jc w:val="left"/>
              <w:rPr>
                <w:rFonts w:ascii="Calibri" w:cs="Calibri" w:hAnsi="Calibri" w:eastAsia="Calibri"/>
                <w:i w:val="1"/>
                <w:iCs w:val="1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i w:val="1"/>
                <w:iCs w:val="1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i w:val="1"/>
                <w:iCs w:val="1"/>
                <w:sz w:val="22"/>
                <w:szCs w:val="22"/>
                <w:shd w:val="nil" w:color="auto" w:fill="auto"/>
                <w:rtl w:val="0"/>
                <w:lang w:val="en-US"/>
              </w:rPr>
              <w:t>India; Kashmir</w:t>
            </w:r>
          </w:p>
          <w:p>
            <w:pPr>
              <w:pStyle w:val="Normal.0"/>
              <w:bidi w:val="0"/>
              <w:spacing w:after="0" w:line="259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i w:val="1"/>
                <w:iCs w:val="1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i w:val="1"/>
                <w:iCs w:val="1"/>
                <w:sz w:val="22"/>
                <w:szCs w:val="22"/>
                <w:shd w:val="nil" w:color="auto" w:fill="auto"/>
                <w:rtl w:val="0"/>
                <w:lang w:val="en-US"/>
              </w:rPr>
              <w:t>Israel; Palestine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7-b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no information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restart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Conflict Region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8-a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National (N)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Character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8-b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International (I)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Character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8-c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Local (L)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Character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8-d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no information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1052" w:hRule="atLeast"/>
        </w:trPr>
        <w:tc>
          <w:tcPr>
            <w:tcW w:type="dxa" w:w="1364"/>
            <w:vMerge w:val="restart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Type of Conflict 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9-a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Non-violent Conflict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Conflict which is not resulting in physical injuries and deaths</w:t>
            </w:r>
          </w:p>
        </w:tc>
      </w:tr>
      <w:tr>
        <w:tblPrEx>
          <w:shd w:val="clear" w:color="auto" w:fill="cad1d7"/>
        </w:tblPrEx>
        <w:trPr>
          <w:trHeight w:val="1052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9-b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Violent Conflict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Conflict-related injuries or deaths, without a</w:t>
            </w:r>
            <w:r>
              <w:rPr>
                <w:rFonts w:ascii="Calibri" w:hAnsi="Calibri"/>
                <w:sz w:val="22"/>
                <w:szCs w:val="22"/>
                <w:rtl w:val="0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  <w:rtl w:val="0"/>
                <w:lang w:val="de-DE"/>
              </w:rPr>
              <w:t xml:space="preserve">state or </w:t>
            </w:r>
            <w:r>
              <w:rPr>
                <w:rFonts w:ascii="Calibri" w:hAnsi="Calibri"/>
                <w:sz w:val="22"/>
                <w:szCs w:val="22"/>
                <w:rtl w:val="0"/>
                <w:lang w:val="en-US"/>
              </w:rPr>
              <w:t>non-state party</w:t>
            </w:r>
          </w:p>
        </w:tc>
      </w:tr>
      <w:tr>
        <w:tblPrEx>
          <w:shd w:val="clear" w:color="auto" w:fill="cad1d7"/>
        </w:tblPrEx>
        <w:trPr>
          <w:trHeight w:val="2159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9-c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Armed Conflict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Conflict with the use of weapons, as well as the involvement of </w:t>
            </w:r>
            <w:r>
              <w:rPr>
                <w:rFonts w:ascii="Calibri" w:hAnsi="Calibri"/>
                <w:sz w:val="22"/>
                <w:szCs w:val="22"/>
                <w:rtl w:val="0"/>
                <w:lang w:val="de-DE"/>
              </w:rPr>
              <w:t xml:space="preserve">state or </w:t>
            </w:r>
            <w:r>
              <w:rPr>
                <w:rFonts w:ascii="Calibri" w:hAnsi="Calibri"/>
                <w:sz w:val="22"/>
                <w:szCs w:val="22"/>
                <w:rtl w:val="0"/>
                <w:lang w:val="en-US"/>
              </w:rPr>
              <w:t xml:space="preserve">non-state party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and less than 1000 deaths per year</w:t>
            </w:r>
          </w:p>
        </w:tc>
      </w:tr>
      <w:tr>
        <w:tblPrEx>
          <w:shd w:val="clear" w:color="auto" w:fill="cad1d7"/>
        </w:tblPrEx>
        <w:trPr>
          <w:trHeight w:val="2159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9-d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War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Armed Conflict between a State and either another state or a non-state party, with at least 1000 related deaths in 12 Months </w:t>
            </w:r>
          </w:p>
        </w:tc>
      </w:tr>
      <w:tr>
        <w:tblPrEx>
          <w:shd w:val="clear" w:color="auto" w:fill="cad1d7"/>
        </w:tblPrEx>
        <w:trPr>
          <w:trHeight w:val="1052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9-e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Post-Conflict 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Period following a conflict, focused on rebuilding, stabili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ation etc. </w:t>
            </w:r>
          </w:p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9-f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Natural Disasters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9-g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no information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041" w:hRule="atLeast"/>
        </w:trPr>
        <w:tc>
          <w:tcPr>
            <w:tcW w:type="dxa" w:w="1364"/>
            <w:vMerge w:val="restart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Technology in Use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10-a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ICT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Radio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Mobile Phones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Messenger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Video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Computing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GPS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Smart Home Devices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Robots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10-b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Games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100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10-c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Digital Platforms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Maps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Blogs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Newspapers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YouTube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10-d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Social Media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i w:val="0"/>
                <w:iCs w:val="0"/>
                <w:sz w:val="22"/>
                <w:szCs w:val="22"/>
                <w:shd w:val="nil" w:color="auto" w:fill="auto"/>
                <w:rtl w:val="0"/>
                <w:lang w:val="de-DE"/>
              </w:rPr>
              <w:t xml:space="preserve">– </w:t>
            </w:r>
            <w:r>
              <w:rPr>
                <w:rFonts w:ascii="Calibri" w:hAnsi="Calibri"/>
                <w:i w:val="1"/>
                <w:iCs w:val="1"/>
                <w:sz w:val="22"/>
                <w:szCs w:val="22"/>
                <w:shd w:val="nil" w:color="auto" w:fill="auto"/>
                <w:rtl w:val="0"/>
                <w:lang w:val="de-DE"/>
              </w:rPr>
              <w:t>Platform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10-e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Wikipedia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10-f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Management Tools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de-DE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Enterprise Systems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10-g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Audio Technologies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126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10-h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Visual Technologies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Face Recognition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Pattern Recognition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Cameras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VR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de-DE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AR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15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10-i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Big Data / AI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GAI / LLM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Assistent Systems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Decision Support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Sentiment Analysis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de-DE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Detection Systems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de-DE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Robots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10-j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Privacy Security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de-DE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PET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de-DE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Surveillance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10-k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Education Technologies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10-l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Design Tools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restart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Role of Technology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11-a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Conflict Space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Political Dialogue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General Roles</w:t>
            </w:r>
          </w:p>
        </w:tc>
      </w:tr>
      <w:tr>
        <w:tblPrEx>
          <w:shd w:val="clear" w:color="auto" w:fill="cad1d7"/>
        </w:tblPrEx>
        <w:trPr>
          <w:trHeight w:val="74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11-b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Organisation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Coordination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Collaboration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Cooperation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11-c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Participation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795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11-d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Information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Helvetica Neue" w:hAnsi="Helvetica Neue"/>
                <w:sz w:val="20"/>
                <w:szCs w:val="20"/>
                <w:shd w:val="nil" w:color="auto" w:fill="auto"/>
                <w:rtl w:val="0"/>
                <w:lang w:val="de-DE"/>
              </w:rPr>
              <w:t>Communication (directed)</w:t>
            </w:r>
          </w:p>
          <w:p>
            <w:pPr>
              <w:pStyle w:val="Normal.0"/>
              <w:bidi w:val="0"/>
              <w:spacing w:after="0" w:line="259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Propaganda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11-e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Education / Awareness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11-f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Visualisation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11-g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Gamification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11-h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Conflict Resolution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Conflict Dynamic</w:t>
            </w:r>
          </w:p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Peace Building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j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Mitigation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k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Reconciliation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l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Solidarity / Empathy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Violence Prevention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n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Polarisation / Radicalisation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Detection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100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o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Discrimination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Hate Speech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Misinformation / Disinformation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Surveillance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178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p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Resilience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Infrastructure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Mental Health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Mourning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Resocialisation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Restoration (of Social Capital)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Climate Crisis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restart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Impact of Disruption and Violence</w:t>
            </w:r>
          </w:p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11-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q</w:t>
            </w:r>
            <w:r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Safety &amp; Security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Weapons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Dual-Use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vMerge w:val="continue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11-r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no information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81" w:hRule="atLeast"/>
        </w:trPr>
        <w:tc>
          <w:tcPr>
            <w:tcW w:type="dxa" w:w="1364"/>
            <w:vMerge w:val="restart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Data Sampling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12-a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Interview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lang w:val="en-US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Semi-Structured</w:t>
            </w:r>
          </w:p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rtl w:val="0"/>
                <w:lang w:val="en-US"/>
              </w:rPr>
              <w:t>Ethnographic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12-b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8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Survey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8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Scenario-based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12-c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Focus Group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12-d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Think aloud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12-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e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Simulation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12-f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Literature Study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12-g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Case Study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12-h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8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Evaluation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8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Workshop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12-i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Observation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3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12-j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8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Co-Design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8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lang w:val="en-US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Session</w:t>
            </w:r>
          </w:p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Workshop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498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12-k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8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Participatory Design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8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lang w:val="en-US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Workshop</w:t>
            </w:r>
          </w:p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rtl w:val="0"/>
                <w:lang w:val="en-US"/>
              </w:rPr>
              <w:t>Design Ethnography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12-l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Emancipatory Action Research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58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12-m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8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Fieldwork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8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lang w:val="en-US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Ethnographic</w:t>
            </w:r>
          </w:p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lang w:val="en-US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Autobiographical</w:t>
            </w:r>
          </w:p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Auto-Ethnography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12-n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Gameplay Session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12-o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Cognitive Walkthrough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3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12-p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8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Online Study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8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Calibri" w:cs="Calibri" w:hAnsi="Calibri" w:eastAsia="Calibri"/>
                <w:sz w:val="22"/>
                <w:szCs w:val="22"/>
                <w:shd w:val="nil" w:color="auto" w:fill="auto"/>
                <w:lang w:val="en-US"/>
              </w:rPr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Interactive</w:t>
            </w:r>
          </w:p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Video-based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12-q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8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Experiment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8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shd w:val="nil" w:color="auto" w:fill="auto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i w:val="1"/>
                <w:iCs w:val="1"/>
                <w:sz w:val="22"/>
                <w:szCs w:val="22"/>
                <w:rtl w:val="0"/>
                <w:lang w:val="en-US"/>
              </w:rPr>
              <w:t>Type of experiment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8" w:space="0" w:shadow="0" w:frame="0"/>
              <w:right w:val="single" w:color="000000" w:sz="4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12-r</w:t>
            </w:r>
          </w:p>
        </w:tc>
        <w:tc>
          <w:tcPr>
            <w:tcW w:type="dxa" w:w="16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8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Data Sampling</w:t>
            </w:r>
          </w:p>
        </w:tc>
        <w:tc>
          <w:tcPr>
            <w:tcW w:type="dxa" w:w="2333"/>
            <w:tcBorders>
              <w:top w:val="single" w:color="000000" w:sz="4" w:space="0" w:shadow="0" w:frame="0"/>
              <w:left w:val="single" w:color="000000" w:sz="8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Calibri" w:hAnsi="Calibri" w:hint="default"/>
                <w:i w:val="1"/>
                <w:iCs w:val="1"/>
                <w:sz w:val="22"/>
                <w:szCs w:val="22"/>
                <w:rtl w:val="0"/>
                <w:lang w:val="en-US"/>
              </w:rPr>
              <w:t xml:space="preserve">– </w:t>
            </w:r>
            <w:r>
              <w:rPr>
                <w:rFonts w:ascii="Calibri" w:hAnsi="Calibri"/>
                <w:i w:val="1"/>
                <w:iCs w:val="1"/>
                <w:sz w:val="22"/>
                <w:szCs w:val="22"/>
                <w:rtl w:val="0"/>
                <w:lang w:val="en-US"/>
              </w:rPr>
              <w:t>Type of data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6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8" w:space="0" w:shadow="0" w:frame="0"/>
              <w:bottom w:val="single" w:color="000000" w:sz="8" w:space="0" w:shadow="0" w:frame="0"/>
              <w:right w:val="single" w:color="000000" w:sz="8" w:space="0" w:shadow="0" w:frame="0"/>
            </w:tcBorders>
            <w:shd w:val="clear" w:color="auto" w:fill="dddddd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8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12-s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no information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6" w:hRule="atLeast"/>
        </w:trPr>
        <w:tc>
          <w:tcPr>
            <w:tcW w:type="dxa" w:w="1364"/>
            <w:vMerge w:val="restart"/>
            <w:tcBorders>
              <w:top w:val="single" w:color="000000" w:sz="8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Data Analysis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13-a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Thematic Analysis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8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13-b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Discourse Analysis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8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13-c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Descriptive Analysis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8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13-d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Analytical Statistics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8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13-e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Evaluation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8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13-f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Grounded Theory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8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13-g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Mixed-methods Analysis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8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13-h 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Case Study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continue"/>
            <w:tcBorders>
              <w:top w:val="single" w:color="000000" w:sz="8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 xml:space="preserve">13-i 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no information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Sample Size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14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de-DE"/>
              </w:rPr>
              <w:t>-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Integer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dddddd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1" w:hRule="atLeast"/>
        </w:trPr>
        <w:tc>
          <w:tcPr>
            <w:tcW w:type="dxa" w:w="1364"/>
            <w:vMerge w:val="restart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Funding Organisation</w:t>
            </w:r>
          </w:p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15</w:t>
            </w: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-a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i w:val="1"/>
                <w:iCs w:val="1"/>
                <w:sz w:val="22"/>
                <w:szCs w:val="22"/>
                <w:rtl w:val="0"/>
              </w:rPr>
              <w:t>Organisation name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59" w:lineRule="auto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ad1d7"/>
        </w:tblPrEx>
        <w:trPr>
          <w:trHeight w:val="224" w:hRule="atLeast"/>
        </w:trPr>
        <w:tc>
          <w:tcPr>
            <w:tcW w:type="dxa" w:w="1364"/>
            <w:vMerge w:val="continue"/>
            <w:tcBorders>
              <w:top w:val="single" w:color="000000" w:sz="4" w:space="0" w:shadow="0" w:frame="0"/>
              <w:left w:val="single" w:color="000000" w:sz="6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</w:tcPr>
          <w:p/>
        </w:tc>
        <w:tc>
          <w:tcPr>
            <w:tcW w:type="dxa" w:w="84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15-b</w:t>
            </w:r>
          </w:p>
        </w:tc>
        <w:tc>
          <w:tcPr>
            <w:tcW w:type="dxa" w:w="3985"/>
            <w:gridSpan w:val="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no information</w:t>
            </w:r>
          </w:p>
        </w:tc>
        <w:tc>
          <w:tcPr>
            <w:tcW w:type="dxa" w:w="9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59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Calibri" w:cs="Aptos" w:hAnsi="Calibri" w:eastAsia="Apto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String</w:t>
            </w:r>
          </w:p>
        </w:tc>
        <w:tc>
          <w:tcPr>
            <w:tcW w:type="dxa" w:w="189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6" w:space="0" w:shadow="0" w:frame="0"/>
              <w:right w:val="single" w:color="000000" w:sz="6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Normal.0"/>
        <w:widowControl w:val="0"/>
        <w:spacing w:line="240" w:lineRule="auto"/>
        <w:rPr>
          <w:rFonts w:ascii="Calibri" w:cs="Calibri" w:hAnsi="Calibri" w:eastAsia="Calibri"/>
          <w:sz w:val="22"/>
          <w:szCs w:val="22"/>
        </w:rPr>
      </w:pPr>
    </w:p>
    <w:p>
      <w:pPr>
        <w:pStyle w:val="Normal.0"/>
        <w:spacing w:line="259" w:lineRule="auto"/>
      </w:pPr>
      <w:r>
        <w:rPr>
          <w:rFonts w:ascii="Calibri" w:cs="Calibri" w:hAnsi="Calibri" w:eastAsia="Calibri"/>
          <w:sz w:val="22"/>
          <w:szCs w:val="22"/>
        </w:rPr>
      </w:r>
    </w:p>
    <w:sectPr>
      <w:headerReference w:type="default" r:id="rId4"/>
      <w:footerReference w:type="default" r:id="rId5"/>
      <w:pgSz w:w="11900" w:h="16840" w:orient="portrait"/>
      <w:pgMar w:top="1440" w:right="1440" w:bottom="1440" w:left="1440" w:header="720" w:footer="7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Aptos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Kopf- und Fußzeilen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Kopf- und Fußzeilen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trackRevisions/>
  <w:defaultTabStop w:val="708"/>
  <w:autoHyphenation w:val="0"/>
  <w:evenAndOddHeaders w:val="0"/>
  <w:bookFoldPrinting w:val="0"/>
  <w:noLineBreaksAfter w:lang="Deutsch" w:val="‘“(〔[{〈《「『【⦅〘〖«〝︵︷︹︻︽︿﹁﹃﹇﹙﹛﹝｢"/>
  <w:noLineBreaksBefore w:lang="Deutsc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Kopf- und Fußzeilen">
    <w:name w:val="Kopf- und Fußzeilen"/>
    <w:next w:val="Kopf- und Fußzeilen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79" w:lineRule="auto"/>
      <w:ind w:left="0" w:right="0" w:firstLine="0"/>
      <w:jc w:val="left"/>
      <w:outlineLvl w:val="9"/>
    </w:pPr>
    <w:rPr>
      <w:rFonts w:ascii="Aptos" w:cs="Aptos" w:hAnsi="Aptos" w:eastAsia="Apto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de-DE"/>
      <w14:textOutline>
        <w14:noFill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Aptos"/>
            <a:ea typeface="Aptos"/>
            <a:cs typeface="Aptos"/>
            <a:sym typeface="Apto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Aptos"/>
            <a:ea typeface="Aptos"/>
            <a:cs typeface="Aptos"/>
            <a:sym typeface="Apto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